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257 vom 8. Januar 2015</w:t>
      </w:r>
    </w:p>
    <w:p>
      <w:r>
        <w:t>FR Kantonsgericht, 2015-01-08, FR</w:t>
      </w:r>
    </w:p>
    <w:p>
      <w:r>
        <w:rPr>
          <w:b/>
        </w:rPr>
        <w:t xml:space="preserve">Quelle: </w:t>
      </w:r>
      <w:r>
        <w:t>https://mcp.opencaselaw.ch/entscheid/fr_gerichte_502 2014 257</w:t>
      </w:r>
    </w:p>
    <w:p>
      <w:r>
        <w:t>FR: FR_GERICHTE 502 2014 257 du 8 janvier 2015</w:t>
      </w:r>
    </w:p>
    <w:p>
      <w:r>
        <w:t>IT: FR_GERICHTE 502 2014 257 del 8 gennaio 2015</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et son respect ne paraît pas contestable en l’espèce, la notification de l'ordonnance étant intervenue le 13 novembre 2014, dernier jour du délai de garde, et le recours ayant été adressé le lundi 24 novembre 2014. b)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w:t>
      </w:r>
    </w:p>
    <w:p>
      <w:r>
        <w:t>Tribunal cantonal TC Page 3 de 3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bb) En l'espèce, une telle possibilité de compléter le recours a été offerte au recourant. Le complément qu'il a adressé à la Chambre dans le délai imparti ne fait toutefois qu'exposer la situation actuelle du recourant. Celui-ci n'y tente nullement d'exposer des motifs allant à l'encontre de la motivation de la décision attaquée. Celle-ci expose clairement les motifs de la non-entrée en matière et la partie recourante n'a ainsi pas discuté les motifs de la décision entreprise ni indiqué en quoi elle estime que l'autorité précédente a méconnu le droit. En l'absence de critique des motifs retenus par le premier juge, malgré la possibilité expressément offerte au recourant, le recours doit, en application des règles précitées, être déclaré irrecevable.</w:t>
      </w:r>
    </w:p>
    <w:p>
      <w:r>
        <w:rPr>
          <w:b/>
        </w:rPr>
        <w:t>E. 2</w:t>
      </w:r>
    </w:p>
    <w:p>
      <w:r>
        <w:t>Vu le sort du recours, les frais de procédure doivent être mis à la charge du recourant (art. 428 al. 1 CPP; art. 33 al. 2, 35 et 43 RJ). la Chambre arrête: I. Le recours est irrecevable. II. Les frais judiciaires de recours sont fixés à 273 fr. (émolument: 200 fr.; débours: 73 fr.).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janvier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